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第106届校企合作人才供需暨访企拓岗促就业洽谈会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企业通过校企合作参与到人才培养整个过程，这样既达到了为企业针对性、实用性培养的目的，使得学生毕业时能够达到其岗位要求；同时实现了人才蓄水池功效，从而有效地降低了企业的人才成本、促进企业长久发展，提升企业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为了助力企业培养人才、储备人才、抢占人才，走校企合作之路，实现人才赋能。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2023年9月19日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第106届校企合作人才供需暨访企拓岗促就业洽谈会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西安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9月19日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，西安。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2、会议规模：拟邀请院校与企业百余家，约计300人左右的大型校企会。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2、生源专业：参会院校生源专业涉及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等门类的近百个专业，参会院校均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实习就业、产教融合协同育人、校企合作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订单培养等实质性合作，以期达到学校、企业、学生三方共赢。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3、线下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sz w:val="28"/>
          <w:szCs w:val="28"/>
        </w:rPr>
        <w:t>与线上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网站相结合</w:t>
      </w:r>
      <w:r>
        <w:rPr>
          <w:rFonts w:hint="eastAsia" w:ascii="仿宋" w:hAnsi="仿宋" w:eastAsia="仿宋" w:cs="仿宋"/>
          <w:sz w:val="28"/>
          <w:szCs w:val="28"/>
        </w:rPr>
        <w:t>，资源丰富，为企业的人才招聘与储备工作提供了强有力的保障。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会议现场设置签约席，参会企业可以直接与参会学校现场达成人才输送初步合作意向。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5、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9月18日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9月19日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、校企、校校联合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专业共建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4、毕业生招聘、顶岗实习或工学结合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产教融合协同育人、校企合作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订单培养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6、校企合作、访企拓岗洽谈、签约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9月20日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（6）每家单位限2人参会，大会会刊1本。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3000元/单位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。服务项目：10分钟以内会场发言或播放企业宣传片二选一。（有名额限制）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6、可为有需求单位提供实物宣传展位（免费），名额有限。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9月12日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网上报名提交后，请及时致电会务组确认，以便会务组排版印制会刊。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附件3：“世界历史名城”--西安欢迎您！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320040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"http://www.zgxqhzw.cn/index-12-5609-1.html"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陕西师范大学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陕西科技大学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"http://www.zgxqhzw.cn/index-12-105-1.html"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陕西省商贸学校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西北民族大学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南充职业技术学院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绵阳职业技术学院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陕西科技大学镐京学院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"http://www.zgxqhzw.cn/index-12-1310-1.html"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宜宾职业技术学院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"http://www.zgxqhzw.cn/index-12-1290-1.html"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"http://www.zgxqhzw.cn/index-12-3643-1.html"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西安高科职业技术学院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"http://www.zgxqhzw.cn/index-12-5454-1.html"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陕西省机械高级技工学校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"http://www.zgxqhzw.cn/index-12-5763-1.html"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汉中职业技术学院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西安城市交通技师学院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安康职业技术学院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"http://www.zgxqhzw.cn/index-12-2603-1.html"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杨陵区职业技术教育中心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"http://www.zgxqhzw.cn/index-12-2948-1.html"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陕西航天技师学院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"http://www.zgxqhzw.cn/index-12-2502-1.html"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陕西警官职业学院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106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届校企合作人才供需暨访企拓岗促就业洽谈会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第106届校企合作人才供需暨访企拓岗促就业洽谈会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9.19西安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  <w:bookmarkStart w:id="4" w:name="_GoBack"/>
            <w:bookmarkEnd w:id="4"/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6"/>
          <w:szCs w:val="36"/>
          <w:lang w:val="en-US" w:eastAsia="zh-CN"/>
        </w:rPr>
        <w:t>“世界历史名城”--西安欢迎您！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西安市，古称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"https://baike.baidu.com/item/%E9%95%BF%E5%AE%89/31540?fromModule=lemma_inlink"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长安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"https://baike.baidu.com/item/%E9%95%90%E4%BA%AC/3635091?fromModule=lemma_inlink"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镐京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，陕西省辖地级市，是陕西省省会、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"https://baike.baidu.com/item/%E5%89%AF%E7%9C%81%E7%BA%A7%E5%B8%82/1561706?fromModule=lemma_inlink"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副省级市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"https://baike.baidu.com/item/%E7%89%B9%E5%A4%A7%E5%9F%8E%E5%B8%82/1491?fromModule=lemma_inlink"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特大城市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"https://baike.baidu.com/item/%E5%9B%BD%E5%AE%B6%E4%B8%AD%E5%BF%83%E5%9F%8E%E5%B8%82/842500?fromModule=lemma_inlink"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国家中心城市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"https://baike.baidu.com/item/%E8%A5%BF%E5%AE%89%E9%83%BD%E5%B8%82%E5%9C%88/6668292?fromModule=lemma_inlink"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西安都市圈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"https://baike.baidu.com/item/%E5%85%B3%E4%B8%AD%E5%B9%B3%E5%8E%9F%E5%9F%8E%E5%B8%82%E7%BE%A4/22378660?fromModule=lemma_inlink"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关中平原城市群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核心城市 ，国务院批复确定的中国西部地区重要的中心城市，国家重要的科研、教育和工业基地。截至2022年底，全市常住人口为1299.59万人</w:t>
      </w:r>
      <w:bookmarkStart w:id="0" w:name="ref_159_55207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西安市地处中国西北地区、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"https://baike.baidu.com/item/%E5%85%B3%E4%B8%AD%E5%B9%B3%E5%8E%9F/10791516?fromModule=lemma_inlink"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关中平原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中部、北濒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"https://baike.baidu.com/item/%E6%B8%AD%E6%B2%B3/932174?fromModule=lemma_inlink"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渭河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、南依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"https://baike.baidu.com/item/%E7%A7%A6%E5%B2%AD/1396?fromModule=lemma_inlink"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秦岭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，自古有着“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"https://baike.baidu.com/item/%E5%85%AB%E6%B0%B4%E7%BB%95%E9%95%BF%E5%AE%89/4792482?fromModule=lemma_inlink"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八水绕长安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”之美誉</w:t>
      </w:r>
      <w:bookmarkStart w:id="1" w:name="ref_148_55207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bookmarkEnd w:id="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"https://baike.baidu.com/item/%E8%81%94%E5%90%88%E5%9B%BD%E6%95%99%E7%A7%91%E6%96%87%E7%BB%84%E7%BB%87/265071?fromModule=lemma_inlink"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联合国教科文组织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于1981年确定的“世界历史名城”</w:t>
      </w:r>
      <w:bookmarkStart w:id="2" w:name="ref_6_55207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"https://baike.baidu.com/item/%E4%B8%AD%E5%8D%8E%E6%96%87%E6%98%8E/4207?fromModule=lemma_inlink"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中华文明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"https://baike.baidu.com/item/%E4%B8%AD%E5%8D%8E%E6%B0%91%E6%97%8F/1186?fromModule=lemma_inlink"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中华民族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重要发祥地之一，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"https://baike.baidu.com/item/%E4%B8%9D%E7%BB%B8%E4%B9%8B%E8%B7%AF/434?fromModule=lemma_inlink"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丝绸之路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的起点，历史上先后有13个王朝在此建都。</w:t>
      </w:r>
      <w:bookmarkEnd w:id="2"/>
      <w:bookmarkStart w:id="3" w:name="ref_168_55207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西安是闻名世界的历史名城，与世界著名的罗马、雅典、开罗等古城齐名，也是中国六大古都中建都历史最长的一个</w:t>
      </w:r>
      <w:bookmarkEnd w:id="3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截至2022年末，陕西省共有高等学校111所，其中普通高等学校97所、成人高校14所。全省共有中等职业学校225所。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市是中国高校密度和受高等教育人数最多的城市，在全国具有重要地位，是中国五大教育、科研中心之一。高校中有“985工程”高校2所，“211工程”高校7所（含空军军医大学），另有西安美术学院、西安音乐学院、西安体育学院等专业特色类高校。西安民办高校实力亦不容小觑，在“校友会2018中国民办大学排行榜150强”中的前30西安占5所，其中欧亚列全国第4、培华列全国第9位。2022年末，西安市共有普通高等学校（本专科）63所，毕业生21.73万人。研究生培养单位43所，毕业生3.95万人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西安市是中国最佳旅游目的地、中国国际形象最佳城市之一，有两项六处遗产被列入《世界遗产名录》，分别是：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"https://baike.baidu.com/item/%E7%A7%A6%E5%A7%8B%E7%9A%87%E9%99%B5/196224?fromModule=lemma_inlink"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秦始皇陵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"https://baike.baidu.com/item/%E5%85%B5%E9%A9%AC%E4%BF%91/60649?fromModule=lemma_inlink"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兵马俑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"https://baike.baidu.com/item/%E5%A4%A7%E9%9B%81%E5%A1%94/29143?fromModule=lemma_inlink"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大雁塔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"https://baike.baidu.com/item/%E5%B0%8F%E9%9B%81%E5%A1%94/319464?fromModule=lemma_inlink"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小雁塔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"https://baike.baidu.com/item/%E5%94%90%E9%95%BF%E5%AE%89%E5%9F%8E%E5%A4%A7%E6%98%8E%E5%AE%AB%E9%81%97%E5%9D%80/14681923?fromModule=lemma_inlink"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唐长安城大明宫遗址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"https://baike.baidu.com/item/%E6%B1%89%E9%95%BF%E5%AE%89%E5%9F%8E%E6%9C%AA%E5%A4%AE%E5%AE%AB%E9%81%97%E5%9D%80/6105255?fromModule=lemma_inlink"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汉长安城未央宫遗址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"https://baike.baidu.com/item/%E5%85%B4%E6%95%99%E5%AF%BA%E5%A1%94/7609231?fromModule=lemma_inlink"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兴教寺塔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。另有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"https://baike.baidu.com/item/%E8%A5%BF%E5%AE%89%E5%9F%8E%E5%A2%99/1227840?fromModule=lemma_inlink"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西安城墙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"https://baike.baidu.com/item/%E9%92%9F%E9%BC%93%E6%A5%BC/2818827?fromModule=lemma_inlink"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钟鼓楼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"https://baike.baidu.com/item/%E5%8D%8E%E6%B8%85%E6%B1%A0/196799?fromModule=lemma_inlink"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华清池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"https://baike.baidu.com/item/%E7%BB%88%E5%8D%97%E5%B1%B1/1564?fromModule=lemma_inlink"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终南山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"https://baike.baidu.com/item/%E5%A4%A7%E5%94%90%E8%8A%99%E8%93%89%E5%9B%AD/5709?fromModule=lemma_inlink"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大唐芙蓉园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"https://baike.baidu.com/item/%E9%99%95%E8%A5%BF%E5%8E%86%E5%8F%B2%E5%8D%9A%E7%89%A9%E9%A6%86/197309?fromModule=lemma_inlink"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陕西历史博物馆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"https://baike.baidu.com/item/%E7%A2%91%E6%9E%97/1778247?fromModule=lemma_inlink" \t "https://baike.baidu.com/item/%E8%A5%BF%E5%AE%89%E5%B8%82/_blank"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碑林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等景点。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美丽的古都——陕西西安，期待您的到来！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DB2490"/>
    <w:rsid w:val="05DD0E49"/>
    <w:rsid w:val="05E9141F"/>
    <w:rsid w:val="067237D9"/>
    <w:rsid w:val="07943213"/>
    <w:rsid w:val="08770BEB"/>
    <w:rsid w:val="08A87FE9"/>
    <w:rsid w:val="0A8C58B5"/>
    <w:rsid w:val="0B1912BF"/>
    <w:rsid w:val="0B3C572D"/>
    <w:rsid w:val="0B5440BA"/>
    <w:rsid w:val="0B8B471A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BB27AA1"/>
    <w:rsid w:val="1C171651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264EAB"/>
    <w:rsid w:val="239006C7"/>
    <w:rsid w:val="246E1843"/>
    <w:rsid w:val="25B13B78"/>
    <w:rsid w:val="262E6060"/>
    <w:rsid w:val="26B36E1F"/>
    <w:rsid w:val="26D11AA9"/>
    <w:rsid w:val="27670B08"/>
    <w:rsid w:val="2798117C"/>
    <w:rsid w:val="294B6B3F"/>
    <w:rsid w:val="29EC3267"/>
    <w:rsid w:val="2A862824"/>
    <w:rsid w:val="2BC9599F"/>
    <w:rsid w:val="2E547D00"/>
    <w:rsid w:val="2E962CA7"/>
    <w:rsid w:val="2E974AF4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D290CF1"/>
    <w:rsid w:val="4D8B17F1"/>
    <w:rsid w:val="4E264E1E"/>
    <w:rsid w:val="4E644251"/>
    <w:rsid w:val="4F0216B2"/>
    <w:rsid w:val="50341D55"/>
    <w:rsid w:val="532E22D9"/>
    <w:rsid w:val="53AA32CE"/>
    <w:rsid w:val="53DD4C88"/>
    <w:rsid w:val="541A26B0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303123"/>
    <w:rsid w:val="5C756B99"/>
    <w:rsid w:val="5D117A58"/>
    <w:rsid w:val="5F447FDD"/>
    <w:rsid w:val="600B3F2A"/>
    <w:rsid w:val="602F6BEE"/>
    <w:rsid w:val="624A3C82"/>
    <w:rsid w:val="64002946"/>
    <w:rsid w:val="649472AE"/>
    <w:rsid w:val="649D5A61"/>
    <w:rsid w:val="65225D7A"/>
    <w:rsid w:val="653E552C"/>
    <w:rsid w:val="65B64887"/>
    <w:rsid w:val="66A22AA8"/>
    <w:rsid w:val="67030158"/>
    <w:rsid w:val="689841A8"/>
    <w:rsid w:val="6B7067B3"/>
    <w:rsid w:val="6CD97FB6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B094CCA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3964</Words>
  <Characters>4277</Characters>
  <Paragraphs>280</Paragraphs>
  <TotalTime>2</TotalTime>
  <ScaleCrop>false</ScaleCrop>
  <LinksUpToDate>false</LinksUpToDate>
  <CharactersWithSpaces>4699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2023-06-25T06:48:43Z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7429B54D127E475BBB90E0F09E5FAE0F_13</vt:lpwstr>
  </property>
</Properties>
</file>